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方正小标宋简体" w:hAnsi="宋体" w:eastAsia="方正小标宋简体"/>
          <w:spacing w:val="-23"/>
          <w:sz w:val="44"/>
          <w:lang w:val="en-US" w:eastAsia="zh-CN"/>
        </w:rPr>
      </w:pPr>
      <w:r>
        <w:rPr>
          <w:rFonts w:hint="eastAsia" w:ascii="宋体" w:hAnsi="宋体" w:eastAsia="宋体" w:cs="宋体"/>
          <w:spacing w:val="-23"/>
          <w:sz w:val="28"/>
          <w:szCs w:val="28"/>
          <w:lang w:eastAsia="zh-CN"/>
        </w:rPr>
        <w:t>附件</w:t>
      </w:r>
      <w:r>
        <w:rPr>
          <w:rFonts w:hint="eastAsia" w:ascii="宋体" w:hAnsi="宋体" w:eastAsia="宋体" w:cs="宋体"/>
          <w:spacing w:val="-23"/>
          <w:sz w:val="28"/>
          <w:szCs w:val="28"/>
          <w:lang w:val="en-US" w:eastAsia="zh-CN"/>
        </w:rPr>
        <w:t>1：</w:t>
      </w:r>
      <w:r>
        <w:rPr>
          <w:rFonts w:hint="eastAsia" w:ascii="方正小标宋简体" w:hAnsi="宋体" w:eastAsia="方正小标宋简体"/>
          <w:spacing w:val="-23"/>
          <w:sz w:val="44"/>
          <w:lang w:val="en-US" w:eastAsia="zh-CN"/>
        </w:rPr>
        <w:t xml:space="preserve"> </w:t>
      </w:r>
    </w:p>
    <w:p>
      <w:pPr>
        <w:spacing w:line="700" w:lineRule="exact"/>
        <w:jc w:val="center"/>
        <w:rPr>
          <w:rFonts w:hint="eastAsia" w:ascii="方正小标宋简体" w:hAnsi="宋体" w:eastAsia="方正小标宋简体"/>
          <w:spacing w:val="-23"/>
          <w:sz w:val="44"/>
        </w:rPr>
      </w:pPr>
      <w:r>
        <w:rPr>
          <w:rFonts w:hint="eastAsia" w:ascii="方正小标宋简体" w:hAnsi="宋体" w:eastAsia="方正小标宋简体"/>
          <w:spacing w:val="-23"/>
          <w:sz w:val="44"/>
        </w:rPr>
        <w:t>审计整改软件采购项目比选评分表</w:t>
      </w:r>
    </w:p>
    <w:p>
      <w:pPr>
        <w:adjustRightInd w:val="0"/>
        <w:spacing w:before="156" w:beforeLines="50" w:after="156" w:afterLines="50" w:line="440" w:lineRule="exact"/>
        <w:ind w:left="-199" w:leftChars="-95" w:firstLine="640" w:firstLineChars="200"/>
        <w:rPr>
          <w:rFonts w:hint="eastAsia" w:ascii="仿宋_GB2312" w:eastAsia="仿宋_GB2312"/>
          <w:sz w:val="32"/>
          <w:szCs w:val="32"/>
        </w:rPr>
      </w:pPr>
      <w:r>
        <w:rPr>
          <w:rFonts w:hint="eastAsia" w:ascii="仿宋_GB2312" w:eastAsia="仿宋_GB2312"/>
          <w:sz w:val="32"/>
          <w:szCs w:val="32"/>
        </w:rPr>
        <w:t>在满足本项目比选公告中有关参选资格要求的基础上，对参选商提供的参选资料</w:t>
      </w:r>
      <w:bookmarkStart w:id="0" w:name="_GoBack"/>
      <w:bookmarkEnd w:id="0"/>
      <w:r>
        <w:rPr>
          <w:rFonts w:hint="eastAsia" w:ascii="仿宋_GB2312" w:eastAsia="仿宋_GB2312"/>
          <w:sz w:val="32"/>
          <w:szCs w:val="32"/>
        </w:rPr>
        <w:t>，采用比选（综合评分法）的形式，评分要素和具体分值如下：</w:t>
      </w:r>
    </w:p>
    <w:p>
      <w:pPr>
        <w:adjustRightInd w:val="0"/>
        <w:spacing w:before="156" w:beforeLines="50" w:after="156" w:afterLines="50" w:line="440" w:lineRule="exact"/>
        <w:ind w:left="120" w:leftChars="57" w:firstLine="118" w:firstLineChars="37"/>
        <w:rPr>
          <w:rFonts w:ascii="仿宋_GB2312" w:eastAsia="仿宋_GB2312"/>
          <w:sz w:val="32"/>
          <w:szCs w:val="32"/>
        </w:rPr>
      </w:pPr>
      <w:r>
        <w:rPr>
          <w:rFonts w:hint="eastAsia" w:ascii="仿宋_GB2312" w:eastAsia="仿宋_GB2312"/>
          <w:sz w:val="32"/>
          <w:szCs w:val="32"/>
        </w:rPr>
        <w:t>参选商：                            评分人：</w:t>
      </w:r>
    </w:p>
    <w:tbl>
      <w:tblPr>
        <w:tblStyle w:val="5"/>
        <w:tblW w:w="894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696"/>
        <w:gridCol w:w="885"/>
        <w:gridCol w:w="462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top"/>
          </w:tcPr>
          <w:p>
            <w:pPr>
              <w:adjustRightInd w:val="0"/>
              <w:spacing w:line="420" w:lineRule="exact"/>
              <w:jc w:val="center"/>
              <w:rPr>
                <w:rFonts w:hint="eastAsia" w:ascii="仿宋_GB2312" w:eastAsia="仿宋_GB2312"/>
                <w:sz w:val="28"/>
                <w:szCs w:val="28"/>
              </w:rPr>
            </w:pPr>
            <w:r>
              <w:rPr>
                <w:rFonts w:hint="eastAsia" w:ascii="仿宋_GB2312" w:eastAsia="仿宋_GB2312"/>
                <w:sz w:val="28"/>
                <w:szCs w:val="28"/>
              </w:rPr>
              <w:t>序号</w:t>
            </w:r>
          </w:p>
        </w:tc>
        <w:tc>
          <w:tcPr>
            <w:tcW w:w="1696" w:type="dxa"/>
            <w:noWrap w:val="0"/>
            <w:vAlign w:val="top"/>
          </w:tcPr>
          <w:p>
            <w:pPr>
              <w:adjustRightInd w:val="0"/>
              <w:spacing w:line="420" w:lineRule="exact"/>
              <w:jc w:val="center"/>
              <w:rPr>
                <w:rFonts w:hint="eastAsia" w:ascii="仿宋_GB2312" w:eastAsia="仿宋_GB2312"/>
                <w:sz w:val="28"/>
                <w:szCs w:val="28"/>
              </w:rPr>
            </w:pPr>
            <w:r>
              <w:rPr>
                <w:rFonts w:hint="eastAsia" w:ascii="仿宋_GB2312" w:eastAsia="仿宋_GB2312"/>
                <w:sz w:val="28"/>
                <w:szCs w:val="28"/>
              </w:rPr>
              <w:t>评分因素</w:t>
            </w:r>
          </w:p>
        </w:tc>
        <w:tc>
          <w:tcPr>
            <w:tcW w:w="885" w:type="dxa"/>
            <w:noWrap w:val="0"/>
            <w:vAlign w:val="top"/>
          </w:tcPr>
          <w:p>
            <w:pPr>
              <w:adjustRightInd w:val="0"/>
              <w:spacing w:line="420" w:lineRule="exact"/>
              <w:jc w:val="center"/>
              <w:rPr>
                <w:rFonts w:hint="eastAsia" w:ascii="仿宋_GB2312" w:eastAsia="仿宋_GB2312"/>
                <w:sz w:val="28"/>
                <w:szCs w:val="28"/>
              </w:rPr>
            </w:pPr>
            <w:r>
              <w:rPr>
                <w:rFonts w:hint="eastAsia" w:ascii="仿宋_GB2312" w:eastAsia="仿宋_GB2312"/>
                <w:sz w:val="28"/>
                <w:szCs w:val="28"/>
              </w:rPr>
              <w:t>分值</w:t>
            </w:r>
          </w:p>
        </w:tc>
        <w:tc>
          <w:tcPr>
            <w:tcW w:w="4620" w:type="dxa"/>
            <w:noWrap w:val="0"/>
            <w:vAlign w:val="top"/>
          </w:tcPr>
          <w:p>
            <w:pPr>
              <w:adjustRightInd w:val="0"/>
              <w:spacing w:line="420" w:lineRule="exact"/>
              <w:jc w:val="center"/>
              <w:rPr>
                <w:rFonts w:hint="eastAsia" w:ascii="仿宋_GB2312" w:eastAsia="仿宋_GB2312"/>
                <w:sz w:val="28"/>
                <w:szCs w:val="28"/>
              </w:rPr>
            </w:pPr>
            <w:r>
              <w:rPr>
                <w:rFonts w:hint="eastAsia" w:ascii="仿宋_GB2312" w:eastAsia="仿宋_GB2312"/>
                <w:sz w:val="28"/>
                <w:szCs w:val="28"/>
              </w:rPr>
              <w:t>内容</w:t>
            </w:r>
          </w:p>
        </w:tc>
        <w:tc>
          <w:tcPr>
            <w:tcW w:w="934" w:type="dxa"/>
            <w:noWrap w:val="0"/>
            <w:vAlign w:val="top"/>
          </w:tcPr>
          <w:p>
            <w:pPr>
              <w:adjustRightInd w:val="0"/>
              <w:spacing w:line="420" w:lineRule="exact"/>
              <w:jc w:val="center"/>
              <w:rPr>
                <w:rFonts w:hint="eastAsia" w:ascii="仿宋_GB2312" w:eastAsia="仿宋_GB2312"/>
                <w:sz w:val="28"/>
                <w:szCs w:val="28"/>
              </w:rPr>
            </w:pPr>
            <w:r>
              <w:rPr>
                <w:rFonts w:hint="eastAsia" w:ascii="仿宋_GB2312" w:eastAsia="仿宋_GB2312"/>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805" w:type="dxa"/>
            <w:noWrap w:val="0"/>
            <w:vAlign w:val="center"/>
          </w:tcPr>
          <w:p>
            <w:pPr>
              <w:adjustRightIn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696" w:type="dxa"/>
            <w:noWrap w:val="0"/>
            <w:vAlign w:val="center"/>
          </w:tcPr>
          <w:p>
            <w:pPr>
              <w:adjustRightInd w:val="0"/>
              <w:spacing w:line="30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产品报价</w:t>
            </w:r>
          </w:p>
        </w:tc>
        <w:tc>
          <w:tcPr>
            <w:tcW w:w="885" w:type="dxa"/>
            <w:noWrap w:val="0"/>
            <w:vAlign w:val="center"/>
          </w:tcPr>
          <w:p>
            <w:pPr>
              <w:adjustRightInd w:val="0"/>
              <w:spacing w:line="300" w:lineRule="exact"/>
              <w:jc w:val="center"/>
              <w:rPr>
                <w:rFonts w:hint="eastAsia" w:ascii="仿宋_GB2312" w:hAnsi="仿宋_GB2312" w:eastAsia="仿宋_GB2312" w:cs="仿宋_GB2312"/>
                <w:szCs w:val="21"/>
              </w:rPr>
            </w:pPr>
            <w:r>
              <w:rPr>
                <w:rFonts w:ascii="仿宋_GB2312" w:hAnsi="仿宋_GB2312" w:eastAsia="仿宋_GB2312" w:cs="仿宋_GB2312"/>
                <w:szCs w:val="21"/>
              </w:rPr>
              <w:t>10</w:t>
            </w:r>
            <w:r>
              <w:rPr>
                <w:rFonts w:hint="eastAsia" w:ascii="仿宋_GB2312" w:hAnsi="仿宋_GB2312" w:eastAsia="仿宋_GB2312" w:cs="仿宋_GB2312"/>
                <w:szCs w:val="21"/>
              </w:rPr>
              <w:t>分</w:t>
            </w:r>
          </w:p>
        </w:tc>
        <w:tc>
          <w:tcPr>
            <w:tcW w:w="4620" w:type="dxa"/>
            <w:noWrap w:val="0"/>
            <w:vAlign w:val="center"/>
          </w:tcPr>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价格分采用低价优先法计算，即满足采购需求且投标价格</w:t>
            </w:r>
            <w:r>
              <w:rPr>
                <w:rFonts w:hint="eastAsia" w:ascii="仿宋_GB2312" w:hAnsi="仿宋_GB2312" w:eastAsia="仿宋_GB2312" w:cs="仿宋_GB2312"/>
                <w:szCs w:val="21"/>
                <w:lang w:eastAsia="zh-CN"/>
              </w:rPr>
              <w:t>最低</w:t>
            </w:r>
            <w:r>
              <w:rPr>
                <w:rFonts w:hint="eastAsia" w:ascii="仿宋_GB2312" w:hAnsi="仿宋_GB2312" w:eastAsia="仿宋_GB2312" w:cs="仿宋_GB2312"/>
                <w:szCs w:val="21"/>
              </w:rPr>
              <w:t>的投标报价为评标基准价，其价格分为满分。投标报价得分＝（评标基准价/投标报价）×10分</w:t>
            </w:r>
            <w:r>
              <w:rPr>
                <w:rFonts w:hint="eastAsia" w:ascii="仿宋_GB2312" w:hAnsi="仿宋_GB2312" w:eastAsia="仿宋_GB2312" w:cs="仿宋_GB2312"/>
                <w:szCs w:val="21"/>
                <w:lang w:eastAsia="zh-CN"/>
              </w:rPr>
              <w:t>。</w:t>
            </w:r>
          </w:p>
        </w:tc>
        <w:tc>
          <w:tcPr>
            <w:tcW w:w="934" w:type="dxa"/>
            <w:noWrap w:val="0"/>
            <w:vAlign w:val="center"/>
          </w:tcPr>
          <w:p>
            <w:pPr>
              <w:adjustRightInd w:val="0"/>
              <w:spacing w:line="30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noWrap w:val="0"/>
            <w:vAlign w:val="center"/>
          </w:tcPr>
          <w:p>
            <w:pPr>
              <w:adjustRightIn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96" w:type="dxa"/>
            <w:noWrap w:val="0"/>
            <w:vAlign w:val="center"/>
          </w:tcPr>
          <w:p>
            <w:pPr>
              <w:adjustRightIn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近三年业绩</w:t>
            </w:r>
          </w:p>
          <w:p>
            <w:pPr>
              <w:adjustRightIn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情况</w:t>
            </w:r>
          </w:p>
        </w:tc>
        <w:tc>
          <w:tcPr>
            <w:tcW w:w="885" w:type="dxa"/>
            <w:noWrap w:val="0"/>
            <w:vAlign w:val="center"/>
          </w:tcPr>
          <w:p>
            <w:pPr>
              <w:adjustRightIn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4620" w:type="dxa"/>
            <w:noWrap w:val="0"/>
            <w:vAlign w:val="center"/>
          </w:tcPr>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1.评审标准：参选人提供近3年</w:t>
            </w:r>
            <w:r>
              <w:rPr>
                <w:rFonts w:hint="eastAsia" w:ascii="仿宋_GB2312" w:hAnsi="仿宋_GB2312" w:eastAsia="仿宋_GB2312" w:cs="仿宋_GB2312"/>
                <w:szCs w:val="21"/>
                <w:lang w:eastAsia="zh-CN"/>
              </w:rPr>
              <w:t>且目前运转良好</w:t>
            </w:r>
            <w:r>
              <w:rPr>
                <w:rFonts w:hint="eastAsia" w:ascii="仿宋_GB2312" w:hAnsi="仿宋_GB2312" w:eastAsia="仿宋_GB2312" w:cs="仿宋_GB2312"/>
                <w:szCs w:val="21"/>
              </w:rPr>
              <w:t>软件应用业绩，提供1个得满分10分；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 xml:space="preserve"> 2.证明材料：参选人需提供合同关键信息或项目履约（验收）合格评价证明文件作为得分依据。</w:t>
            </w:r>
          </w:p>
        </w:tc>
        <w:tc>
          <w:tcPr>
            <w:tcW w:w="934" w:type="dxa"/>
            <w:noWrap w:val="0"/>
            <w:vAlign w:val="center"/>
          </w:tcPr>
          <w:p>
            <w:pPr>
              <w:adjustRightInd w:val="0"/>
              <w:spacing w:line="30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805" w:type="dxa"/>
            <w:noWrap w:val="0"/>
            <w:vAlign w:val="center"/>
          </w:tcPr>
          <w:p>
            <w:pPr>
              <w:adjustRightIn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96" w:type="dxa"/>
            <w:noWrap w:val="0"/>
            <w:vAlign w:val="center"/>
          </w:tcPr>
          <w:p>
            <w:pPr>
              <w:adjustRightIn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软件功能</w:t>
            </w:r>
          </w:p>
        </w:tc>
        <w:tc>
          <w:tcPr>
            <w:tcW w:w="885" w:type="dxa"/>
            <w:noWrap w:val="0"/>
            <w:vAlign w:val="center"/>
          </w:tcPr>
          <w:p>
            <w:pPr>
              <w:adjustRightInd w:val="0"/>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7</w:t>
            </w:r>
            <w:r>
              <w:rPr>
                <w:rFonts w:hint="eastAsia" w:ascii="仿宋_GB2312" w:hAnsi="仿宋_GB2312" w:eastAsia="仿宋_GB2312" w:cs="仿宋_GB2312"/>
                <w:szCs w:val="21"/>
              </w:rPr>
              <w:t>0分</w:t>
            </w:r>
          </w:p>
        </w:tc>
        <w:tc>
          <w:tcPr>
            <w:tcW w:w="4620" w:type="dxa"/>
            <w:noWrap w:val="0"/>
            <w:vAlign w:val="center"/>
          </w:tcPr>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根据供应商软件功能演示打分，满分70分。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1.数据管理：实现对审计项目建立或接入，整改问题录入与发布，整改任务、整改清单管理，问题挂号和销号审批，整改进度及整改流程跟踪、整改资料的上传下载</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2.预警督查：将审计发现问题整改进度按照不同时间节点和严重程度赋予相应颜色标记，</w:t>
            </w:r>
            <w:r>
              <w:rPr>
                <w:rFonts w:hint="eastAsia" w:ascii="仿宋_GB2312" w:hAnsi="仿宋_GB2312" w:eastAsia="仿宋_GB2312" w:cs="仿宋_GB2312"/>
                <w:szCs w:val="21"/>
                <w:lang w:eastAsia="zh-CN"/>
              </w:rPr>
              <w:t>超期自动提醒，</w:t>
            </w:r>
            <w:r>
              <w:rPr>
                <w:rFonts w:hint="eastAsia" w:ascii="仿宋_GB2312" w:hAnsi="仿宋_GB2312" w:eastAsia="仿宋_GB2312" w:cs="仿宋_GB2312"/>
                <w:szCs w:val="21"/>
              </w:rPr>
              <w:t>审计机关可根据问题颜色变化督促</w:t>
            </w:r>
            <w:r>
              <w:rPr>
                <w:rFonts w:hint="eastAsia" w:ascii="仿宋_GB2312" w:hAnsi="仿宋_GB2312" w:eastAsia="仿宋_GB2312" w:cs="仿宋_GB2312"/>
                <w:szCs w:val="21"/>
                <w:lang w:eastAsia="zh-CN"/>
              </w:rPr>
              <w:t>相关</w:t>
            </w:r>
            <w:r>
              <w:rPr>
                <w:rFonts w:hint="eastAsia" w:ascii="仿宋_GB2312" w:hAnsi="仿宋_GB2312" w:eastAsia="仿宋_GB2312" w:cs="仿宋_GB2312"/>
                <w:szCs w:val="21"/>
              </w:rPr>
              <w:t>责任单位落实整改</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3.统计分析：对审计问题及整改工作过程进行定制化统计分析，并以图表形式展示，包括且不限于整改完成情况统计、整改阶段情况统计、分类型统计分析、整改督办情况分析等</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4.平台支撑：包含但不限于组织架构、用户、角色、权限、短信通知等平台支撑功能；对管理操作、业务操作、运行状态等，具备日志输出和自动记录的能力</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ascii="仿宋_GB2312" w:hAnsi="仿宋_GB2312" w:eastAsia="仿宋_GB2312" w:cs="仿宋_GB2312"/>
                <w:szCs w:val="21"/>
              </w:rPr>
            </w:pPr>
            <w:r>
              <w:rPr>
                <w:rFonts w:hint="eastAsia" w:ascii="仿宋_GB2312" w:hAnsi="仿宋_GB2312" w:eastAsia="仿宋_GB2312" w:cs="仿宋_GB2312"/>
                <w:szCs w:val="21"/>
              </w:rPr>
              <w:t>5.短信平台：实现对指定人员、部门、指定角色的短信发送功能，支撑告警、任务、督办等信息的自动发送</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（10分）</w:t>
            </w:r>
          </w:p>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6.部署环境：软件须符合国产化要求且适配安徽金审工程三期计算机终端环境，部署于宿州市政务云平台</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（20分）</w:t>
            </w:r>
          </w:p>
        </w:tc>
        <w:tc>
          <w:tcPr>
            <w:tcW w:w="934" w:type="dxa"/>
            <w:noWrap w:val="0"/>
            <w:vAlign w:val="center"/>
          </w:tcPr>
          <w:p>
            <w:pPr>
              <w:adjustRightInd w:val="0"/>
              <w:spacing w:line="30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05" w:type="dxa"/>
            <w:noWrap w:val="0"/>
            <w:vAlign w:val="center"/>
          </w:tcPr>
          <w:p>
            <w:pPr>
              <w:adjustRightIn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696" w:type="dxa"/>
            <w:noWrap w:val="0"/>
            <w:vAlign w:val="center"/>
          </w:tcPr>
          <w:p>
            <w:pPr>
              <w:adjustRightInd w:val="0"/>
              <w:spacing w:line="3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运维服务保障</w:t>
            </w:r>
          </w:p>
        </w:tc>
        <w:tc>
          <w:tcPr>
            <w:tcW w:w="885" w:type="dxa"/>
            <w:noWrap w:val="0"/>
            <w:vAlign w:val="center"/>
          </w:tcPr>
          <w:p>
            <w:pPr>
              <w:adjustRightIn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10分</w:t>
            </w:r>
          </w:p>
        </w:tc>
        <w:tc>
          <w:tcPr>
            <w:tcW w:w="4620" w:type="dxa"/>
            <w:noWrap w:val="0"/>
            <w:vAlign w:val="center"/>
          </w:tcPr>
          <w:p>
            <w:pPr>
              <w:keepNext w:val="0"/>
              <w:keepLines w:val="0"/>
              <w:pageBreakBefore w:val="0"/>
              <w:widowControl w:val="0"/>
              <w:kinsoku/>
              <w:wordWrap/>
              <w:overflowPunct/>
              <w:topLinePunct w:val="0"/>
              <w:autoSpaceDE/>
              <w:autoSpaceDN/>
              <w:bidi w:val="0"/>
              <w:adjustRightInd w:val="0"/>
              <w:snapToGrid/>
              <w:spacing w:line="28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承诺提供良好的运维服务，包括维护和升级 、故障排除和技术支持、安全性和性能监控，并按要求积极配合相关工作。</w:t>
            </w:r>
          </w:p>
        </w:tc>
        <w:tc>
          <w:tcPr>
            <w:tcW w:w="934" w:type="dxa"/>
            <w:noWrap w:val="0"/>
            <w:vAlign w:val="center"/>
          </w:tcPr>
          <w:p>
            <w:pPr>
              <w:adjustRightInd w:val="0"/>
              <w:spacing w:line="300" w:lineRule="exact"/>
              <w:rPr>
                <w:rFonts w:hint="eastAsia" w:ascii="仿宋_GB2312" w:hAnsi="仿宋_GB2312" w:eastAsia="仿宋_GB2312" w:cs="仿宋_GB2312"/>
                <w:szCs w:val="21"/>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00"/>
    <w:family w:val="modern"/>
    <w:pitch w:val="default"/>
    <w:sig w:usb0="00000000" w:usb1="00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D9761A"/>
    <w:rsid w:val="5FBD124B"/>
    <w:rsid w:val="F7D97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2024-05-31T17:54:00Z</dcterms:created>
  <dc:creator>greatwall</dc:creator>
  <cp:lastModifiedBy>greatwall</cp:lastModifiedBy>
  <dcterms:modified xsi:type="dcterms:W3CDTF">2024-05-31T10:36:33Z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